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4B2" w:rsidRPr="00CF048E" w:rsidRDefault="005024B2" w:rsidP="005024B2">
      <w:pPr>
        <w:tabs>
          <w:tab w:val="center" w:pos="5400"/>
        </w:tabs>
        <w:suppressAutoHyphens/>
        <w:spacing w:line="240" w:lineRule="atLeast"/>
        <w:jc w:val="center"/>
        <w:rPr>
          <w:rFonts w:asciiTheme="minorHAnsi" w:hAnsiTheme="minorHAnsi" w:cs="Calisto MT"/>
          <w:b/>
          <w:bCs/>
          <w:i/>
          <w:iCs/>
          <w:sz w:val="28"/>
          <w:szCs w:val="28"/>
        </w:rPr>
      </w:pPr>
      <w:proofErr w:type="gramStart"/>
      <w:r w:rsidRPr="00CF048E">
        <w:rPr>
          <w:rFonts w:asciiTheme="minorHAnsi" w:hAnsiTheme="minorHAnsi" w:cs="Calisto MT"/>
          <w:b/>
          <w:bCs/>
          <w:i/>
          <w:iCs/>
          <w:sz w:val="28"/>
          <w:szCs w:val="28"/>
        </w:rPr>
        <w:t>WILLAMETTE  UNIVERSITY</w:t>
      </w:r>
      <w:proofErr w:type="gramEnd"/>
      <w:r w:rsidRPr="00CF048E">
        <w:rPr>
          <w:rFonts w:asciiTheme="minorHAnsi" w:hAnsiTheme="minorHAnsi" w:cs="Calisto MT"/>
          <w:b/>
          <w:bCs/>
          <w:i/>
          <w:iCs/>
          <w:sz w:val="28"/>
          <w:szCs w:val="28"/>
        </w:rPr>
        <w:t xml:space="preserve">  COLLEGE</w:t>
      </w:r>
      <w:r>
        <w:rPr>
          <w:rFonts w:asciiTheme="minorHAnsi" w:hAnsiTheme="minorHAnsi" w:cs="Calisto MT"/>
          <w:b/>
          <w:bCs/>
          <w:i/>
          <w:iCs/>
          <w:sz w:val="28"/>
          <w:szCs w:val="28"/>
        </w:rPr>
        <w:t xml:space="preserve"> </w:t>
      </w:r>
      <w:r w:rsidRPr="00CF048E">
        <w:rPr>
          <w:rFonts w:asciiTheme="minorHAnsi" w:hAnsiTheme="minorHAnsi" w:cs="Calisto MT"/>
          <w:b/>
          <w:bCs/>
          <w:i/>
          <w:iCs/>
          <w:sz w:val="28"/>
          <w:szCs w:val="28"/>
        </w:rPr>
        <w:t xml:space="preserve"> OF</w:t>
      </w:r>
      <w:r>
        <w:rPr>
          <w:rFonts w:asciiTheme="minorHAnsi" w:hAnsiTheme="minorHAnsi" w:cs="Calisto MT"/>
          <w:b/>
          <w:bCs/>
          <w:i/>
          <w:iCs/>
          <w:sz w:val="28"/>
          <w:szCs w:val="28"/>
        </w:rPr>
        <w:t xml:space="preserve"> </w:t>
      </w:r>
      <w:r w:rsidRPr="00CF048E">
        <w:rPr>
          <w:rFonts w:asciiTheme="minorHAnsi" w:hAnsiTheme="minorHAnsi" w:cs="Calisto MT"/>
          <w:b/>
          <w:bCs/>
          <w:i/>
          <w:iCs/>
          <w:sz w:val="28"/>
          <w:szCs w:val="28"/>
        </w:rPr>
        <w:t xml:space="preserve"> LAW</w:t>
      </w:r>
      <w:r w:rsidRPr="00CF048E">
        <w:rPr>
          <w:rFonts w:asciiTheme="minorHAnsi" w:hAnsiTheme="minorHAnsi" w:cs="Calisto MT"/>
          <w:b/>
          <w:bCs/>
          <w:i/>
          <w:iCs/>
          <w:sz w:val="28"/>
          <w:szCs w:val="28"/>
        </w:rPr>
        <w:fldChar w:fldCharType="begin"/>
      </w:r>
      <w:r w:rsidRPr="00CF048E">
        <w:rPr>
          <w:rFonts w:asciiTheme="minorHAnsi" w:hAnsiTheme="minorHAnsi" w:cs="Calisto MT"/>
          <w:b/>
          <w:bCs/>
          <w:i/>
          <w:iCs/>
          <w:sz w:val="28"/>
          <w:szCs w:val="28"/>
        </w:rPr>
        <w:instrText xml:space="preserve">PRIVATE </w:instrText>
      </w:r>
      <w:r w:rsidRPr="00CF048E">
        <w:rPr>
          <w:rFonts w:asciiTheme="minorHAnsi" w:hAnsiTheme="minorHAnsi" w:cs="Calisto MT"/>
          <w:b/>
          <w:bCs/>
          <w:i/>
          <w:iCs/>
          <w:sz w:val="28"/>
          <w:szCs w:val="28"/>
        </w:rPr>
        <w:fldChar w:fldCharType="end"/>
      </w:r>
    </w:p>
    <w:p w:rsidR="005024B2" w:rsidRPr="00CF048E" w:rsidRDefault="00C04E19" w:rsidP="005024B2">
      <w:pPr>
        <w:tabs>
          <w:tab w:val="center" w:pos="5400"/>
        </w:tabs>
        <w:suppressAutoHyphens/>
        <w:spacing w:line="240" w:lineRule="atLeast"/>
        <w:jc w:val="center"/>
        <w:rPr>
          <w:rFonts w:asciiTheme="minorHAnsi" w:hAnsiTheme="minorHAnsi" w:cs="Calisto MT"/>
          <w:b/>
          <w:bCs/>
          <w:i/>
          <w:iCs/>
          <w:sz w:val="28"/>
          <w:szCs w:val="28"/>
        </w:rPr>
      </w:pPr>
      <w:r>
        <w:rPr>
          <w:rFonts w:asciiTheme="minorHAnsi" w:hAnsiTheme="minorHAnsi" w:cs="Calisto MT"/>
          <w:b/>
          <w:bCs/>
          <w:i/>
          <w:iCs/>
          <w:sz w:val="28"/>
          <w:szCs w:val="28"/>
        </w:rPr>
        <w:t>SPRING</w:t>
      </w:r>
      <w:r w:rsidR="005024B2" w:rsidRPr="00CF048E">
        <w:rPr>
          <w:rFonts w:asciiTheme="minorHAnsi" w:hAnsiTheme="minorHAnsi" w:cs="Calisto MT"/>
          <w:b/>
          <w:bCs/>
          <w:i/>
          <w:iCs/>
          <w:sz w:val="28"/>
          <w:szCs w:val="28"/>
        </w:rPr>
        <w:t xml:space="preserve"> SEMESTER  20</w:t>
      </w:r>
      <w:r w:rsidR="005024B2">
        <w:rPr>
          <w:rFonts w:asciiTheme="minorHAnsi" w:hAnsiTheme="minorHAnsi" w:cs="Calisto MT"/>
          <w:b/>
          <w:bCs/>
          <w:i/>
          <w:iCs/>
          <w:sz w:val="28"/>
          <w:szCs w:val="28"/>
        </w:rPr>
        <w:t>2</w:t>
      </w:r>
      <w:r>
        <w:rPr>
          <w:rFonts w:asciiTheme="minorHAnsi" w:hAnsiTheme="minorHAnsi" w:cs="Calisto MT"/>
          <w:b/>
          <w:bCs/>
          <w:i/>
          <w:iCs/>
          <w:sz w:val="28"/>
          <w:szCs w:val="28"/>
        </w:rPr>
        <w:t>4</w:t>
      </w:r>
    </w:p>
    <w:p w:rsidR="005024B2" w:rsidRPr="00057C5B" w:rsidRDefault="005024B2" w:rsidP="005024B2">
      <w:pPr>
        <w:tabs>
          <w:tab w:val="left" w:pos="-720"/>
        </w:tabs>
        <w:suppressAutoHyphens/>
        <w:spacing w:line="240" w:lineRule="atLeast"/>
        <w:rPr>
          <w:rFonts w:asciiTheme="minorHAnsi" w:hAnsiTheme="minorHAnsi" w:cs="Calisto MT"/>
          <w:b/>
          <w:bCs/>
          <w:i/>
          <w:iCs/>
          <w:sz w:val="22"/>
          <w:szCs w:val="22"/>
        </w:rPr>
      </w:pPr>
    </w:p>
    <w:p w:rsidR="005024B2" w:rsidRPr="00CF048E" w:rsidRDefault="005024B2" w:rsidP="005024B2">
      <w:pPr>
        <w:tabs>
          <w:tab w:val="left" w:pos="-720"/>
        </w:tabs>
        <w:suppressAutoHyphens/>
        <w:spacing w:line="240" w:lineRule="atLeast"/>
        <w:rPr>
          <w:rFonts w:asciiTheme="minorHAnsi" w:hAnsiTheme="minorHAnsi" w:cs="CG Times"/>
          <w:sz w:val="21"/>
          <w:szCs w:val="21"/>
        </w:rPr>
      </w:pPr>
      <w:r>
        <w:rPr>
          <w:rFonts w:asciiTheme="minorHAnsi" w:hAnsiTheme="minorHAnsi" w:cs="CG Times"/>
          <w:b/>
          <w:bCs/>
          <w:sz w:val="21"/>
          <w:szCs w:val="21"/>
        </w:rPr>
        <w:t xml:space="preserve">GRADE POINT AVERAGE </w:t>
      </w:r>
      <w:r w:rsidRPr="00CF048E">
        <w:rPr>
          <w:rFonts w:asciiTheme="minorHAnsi" w:hAnsiTheme="minorHAnsi" w:cs="CG Times"/>
          <w:b/>
          <w:bCs/>
          <w:sz w:val="21"/>
          <w:szCs w:val="21"/>
        </w:rPr>
        <w:t>RANGES:</w:t>
      </w:r>
      <w:r w:rsidRPr="00CF048E">
        <w:rPr>
          <w:rFonts w:asciiTheme="minorHAnsi" w:hAnsiTheme="minorHAnsi" w:cs="CG Times"/>
          <w:sz w:val="21"/>
          <w:szCs w:val="21"/>
        </w:rPr>
        <w:t xml:space="preserve">   </w:t>
      </w:r>
      <w:r w:rsidRPr="00293526">
        <w:rPr>
          <w:rFonts w:asciiTheme="minorHAnsi" w:hAnsiTheme="minorHAnsi" w:cs="CG Times"/>
          <w:sz w:val="21"/>
          <w:szCs w:val="21"/>
        </w:rPr>
        <w:t>Willamette University</w:t>
      </w:r>
      <w:r>
        <w:rPr>
          <w:rFonts w:asciiTheme="minorHAnsi" w:hAnsiTheme="minorHAnsi" w:cs="CG Times"/>
          <w:sz w:val="21"/>
          <w:szCs w:val="21"/>
        </w:rPr>
        <w:t xml:space="preserve"> College of Law (WUCL) computes grade point average ranges for students who place in the top 10%, top 25%, top 33%, and top 50% of the class.  These ranges are computed for both semester and cumulative grade point averages.  Ranges are not calculated below 50%.</w:t>
      </w:r>
    </w:p>
    <w:p w:rsidR="005024B2" w:rsidRPr="00CF048E" w:rsidRDefault="005024B2" w:rsidP="005024B2">
      <w:pPr>
        <w:tabs>
          <w:tab w:val="left" w:pos="-720"/>
        </w:tabs>
        <w:suppressAutoHyphens/>
        <w:spacing w:line="240" w:lineRule="atLeast"/>
        <w:rPr>
          <w:rFonts w:asciiTheme="minorHAnsi" w:hAnsiTheme="minorHAnsi" w:cs="CG Times"/>
          <w:sz w:val="21"/>
          <w:szCs w:val="21"/>
        </w:rPr>
      </w:pPr>
    </w:p>
    <w:p w:rsidR="005024B2" w:rsidRPr="00CF048E" w:rsidRDefault="005024B2" w:rsidP="005024B2">
      <w:pPr>
        <w:tabs>
          <w:tab w:val="left" w:pos="-720"/>
        </w:tabs>
        <w:suppressAutoHyphens/>
        <w:spacing w:line="240" w:lineRule="atLeast"/>
        <w:rPr>
          <w:rFonts w:asciiTheme="minorHAnsi" w:hAnsiTheme="minorHAnsi" w:cs="CG Times"/>
          <w:sz w:val="21"/>
          <w:szCs w:val="21"/>
        </w:rPr>
      </w:pPr>
      <w:r w:rsidRPr="00CF048E">
        <w:rPr>
          <w:rFonts w:asciiTheme="minorHAnsi" w:hAnsiTheme="minorHAnsi" w:cs="CG Times"/>
          <w:b/>
          <w:bCs/>
          <w:sz w:val="21"/>
          <w:szCs w:val="21"/>
        </w:rPr>
        <w:t>INDIVID</w:t>
      </w:r>
      <w:r>
        <w:rPr>
          <w:rFonts w:asciiTheme="minorHAnsi" w:hAnsiTheme="minorHAnsi" w:cs="CG Times"/>
          <w:b/>
          <w:bCs/>
          <w:sz w:val="21"/>
          <w:szCs w:val="21"/>
        </w:rPr>
        <w:t xml:space="preserve">UAL CLASS </w:t>
      </w:r>
      <w:r w:rsidRPr="00CF048E">
        <w:rPr>
          <w:rFonts w:asciiTheme="minorHAnsi" w:hAnsiTheme="minorHAnsi" w:cs="CG Times"/>
          <w:b/>
          <w:bCs/>
          <w:sz w:val="21"/>
          <w:szCs w:val="21"/>
        </w:rPr>
        <w:t>RANKINGS:</w:t>
      </w:r>
      <w:r w:rsidRPr="00CF048E">
        <w:rPr>
          <w:rFonts w:asciiTheme="minorHAnsi" w:hAnsiTheme="minorHAnsi" w:cs="CG Times"/>
          <w:sz w:val="21"/>
          <w:szCs w:val="21"/>
        </w:rPr>
        <w:t xml:space="preserve">   </w:t>
      </w:r>
      <w:r>
        <w:rPr>
          <w:rFonts w:asciiTheme="minorHAnsi" w:hAnsiTheme="minorHAnsi" w:cs="CG Times"/>
          <w:sz w:val="21"/>
          <w:szCs w:val="21"/>
        </w:rPr>
        <w:t xml:space="preserve">Upon completion of the </w:t>
      </w:r>
      <w:proofErr w:type="gramStart"/>
      <w:r>
        <w:rPr>
          <w:rFonts w:asciiTheme="minorHAnsi" w:hAnsiTheme="minorHAnsi" w:cs="CG Times"/>
          <w:sz w:val="21"/>
          <w:szCs w:val="21"/>
        </w:rPr>
        <w:t>first year</w:t>
      </w:r>
      <w:proofErr w:type="gramEnd"/>
      <w:r>
        <w:rPr>
          <w:rFonts w:asciiTheme="minorHAnsi" w:hAnsiTheme="minorHAnsi" w:cs="CG Times"/>
          <w:sz w:val="21"/>
          <w:szCs w:val="21"/>
        </w:rPr>
        <w:t xml:space="preserve"> curriculum, and every semester thereafter, cumulative rankings are noted for those who place in the top 33% of the class.  </w:t>
      </w:r>
      <w:r w:rsidRPr="00B30CA0">
        <w:rPr>
          <w:rFonts w:asciiTheme="minorHAnsi" w:hAnsiTheme="minorHAnsi" w:cs="CG Times"/>
          <w:sz w:val="21"/>
          <w:szCs w:val="21"/>
        </w:rPr>
        <w:t xml:space="preserve">Part‐time students are included in rankings after completing at least 15 credit hours. </w:t>
      </w:r>
      <w:r>
        <w:rPr>
          <w:rFonts w:asciiTheme="minorHAnsi" w:hAnsiTheme="minorHAnsi" w:cs="CG Times"/>
          <w:sz w:val="21"/>
          <w:szCs w:val="21"/>
        </w:rPr>
        <w:t xml:space="preserve"> </w:t>
      </w:r>
      <w:r w:rsidRPr="00B30CA0">
        <w:rPr>
          <w:rFonts w:asciiTheme="minorHAnsi" w:hAnsiTheme="minorHAnsi" w:cs="CG Times"/>
          <w:sz w:val="21"/>
          <w:szCs w:val="21"/>
        </w:rPr>
        <w:t>Students with 15-31 credits will be ranked with the 1L class; 32-60 credits with the 2L class, and 61+ credits with the 3L class.</w:t>
      </w:r>
    </w:p>
    <w:p w:rsidR="005024B2" w:rsidRPr="00CF048E" w:rsidRDefault="005024B2" w:rsidP="005024B2">
      <w:pPr>
        <w:tabs>
          <w:tab w:val="left" w:pos="-720"/>
        </w:tabs>
        <w:suppressAutoHyphens/>
        <w:spacing w:line="240" w:lineRule="atLeast"/>
        <w:rPr>
          <w:rFonts w:asciiTheme="minorHAnsi" w:hAnsiTheme="minorHAnsi" w:cs="CG Times"/>
          <w:sz w:val="21"/>
          <w:szCs w:val="21"/>
        </w:rPr>
      </w:pPr>
    </w:p>
    <w:p w:rsidR="005024B2" w:rsidRDefault="005024B2" w:rsidP="005024B2">
      <w:pPr>
        <w:tabs>
          <w:tab w:val="left" w:pos="-720"/>
        </w:tabs>
        <w:suppressAutoHyphens/>
        <w:spacing w:line="240" w:lineRule="atLeast"/>
        <w:rPr>
          <w:rFonts w:asciiTheme="minorHAnsi" w:hAnsiTheme="minorHAnsi" w:cs="CG Times"/>
          <w:sz w:val="21"/>
          <w:szCs w:val="21"/>
        </w:rPr>
      </w:pPr>
      <w:r>
        <w:rPr>
          <w:rFonts w:asciiTheme="minorHAnsi" w:hAnsiTheme="minorHAnsi" w:cs="CG Times"/>
          <w:b/>
          <w:bCs/>
          <w:sz w:val="21"/>
          <w:szCs w:val="21"/>
        </w:rPr>
        <w:t xml:space="preserve">DEAN'S HONORS </w:t>
      </w:r>
      <w:r w:rsidRPr="00CF048E">
        <w:rPr>
          <w:rFonts w:asciiTheme="minorHAnsi" w:hAnsiTheme="minorHAnsi" w:cs="CG Times"/>
          <w:b/>
          <w:bCs/>
          <w:sz w:val="21"/>
          <w:szCs w:val="21"/>
        </w:rPr>
        <w:t>LIST:</w:t>
      </w:r>
      <w:r w:rsidRPr="00CF048E">
        <w:rPr>
          <w:rFonts w:asciiTheme="minorHAnsi" w:hAnsiTheme="minorHAnsi" w:cs="CG Times"/>
          <w:sz w:val="21"/>
          <w:szCs w:val="21"/>
        </w:rPr>
        <w:t xml:space="preserve">  The Dean's Honors List is composed of the top 10% of the class, based </w:t>
      </w:r>
      <w:r w:rsidRPr="00F57736">
        <w:rPr>
          <w:rFonts w:asciiTheme="minorHAnsi" w:hAnsiTheme="minorHAnsi" w:cs="CG Times"/>
          <w:sz w:val="21"/>
          <w:szCs w:val="21"/>
        </w:rPr>
        <w:t>on</w:t>
      </w:r>
      <w:r w:rsidRPr="00F57736">
        <w:rPr>
          <w:rFonts w:asciiTheme="minorHAnsi" w:hAnsiTheme="minorHAnsi" w:cs="CG Times"/>
          <w:b/>
          <w:i/>
          <w:sz w:val="21"/>
          <w:szCs w:val="21"/>
        </w:rPr>
        <w:t xml:space="preserve"> semester grades</w:t>
      </w:r>
      <w:r w:rsidRPr="00CF048E">
        <w:rPr>
          <w:rFonts w:asciiTheme="minorHAnsi" w:hAnsiTheme="minorHAnsi" w:cs="CG Times"/>
          <w:sz w:val="21"/>
          <w:szCs w:val="21"/>
        </w:rPr>
        <w:t>, and is limited to full-time students completing eigh</w:t>
      </w:r>
      <w:r>
        <w:rPr>
          <w:rFonts w:asciiTheme="minorHAnsi" w:hAnsiTheme="minorHAnsi" w:cs="CG Times"/>
          <w:sz w:val="21"/>
          <w:szCs w:val="21"/>
        </w:rPr>
        <w:t xml:space="preserve">t (8) or more letter-graded hours that semester </w:t>
      </w:r>
      <w:bookmarkStart w:id="0" w:name="_GoBack"/>
      <w:bookmarkEnd w:id="0"/>
      <w:r>
        <w:rPr>
          <w:rFonts w:asciiTheme="minorHAnsi" w:hAnsiTheme="minorHAnsi" w:cs="CG Times"/>
          <w:sz w:val="21"/>
          <w:szCs w:val="21"/>
        </w:rPr>
        <w:t>and part-time students completing six (6) or more letter-graded hours that semester.</w:t>
      </w:r>
    </w:p>
    <w:p w:rsidR="005024B2" w:rsidRDefault="005024B2" w:rsidP="005024B2">
      <w:pPr>
        <w:tabs>
          <w:tab w:val="left" w:pos="-720"/>
        </w:tabs>
        <w:suppressAutoHyphens/>
        <w:spacing w:line="240" w:lineRule="atLeast"/>
        <w:rPr>
          <w:rFonts w:asciiTheme="minorHAnsi" w:hAnsiTheme="minorHAnsi" w:cs="CG Times"/>
          <w:sz w:val="21"/>
          <w:szCs w:val="21"/>
        </w:rPr>
      </w:pPr>
    </w:p>
    <w:p w:rsidR="005024B2" w:rsidRDefault="005024B2" w:rsidP="005024B2">
      <w:pPr>
        <w:tabs>
          <w:tab w:val="left" w:pos="-720"/>
        </w:tabs>
        <w:suppressAutoHyphens/>
        <w:spacing w:line="240" w:lineRule="atLeast"/>
        <w:rPr>
          <w:rFonts w:asciiTheme="minorHAnsi" w:hAnsiTheme="minorHAnsi" w:cs="CG Times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24B2" w:rsidTr="005024B2">
        <w:tc>
          <w:tcPr>
            <w:tcW w:w="4675" w:type="dxa"/>
          </w:tcPr>
          <w:p w:rsidR="005024B2" w:rsidRDefault="005024B2" w:rsidP="005024B2">
            <w:pPr>
              <w:tabs>
                <w:tab w:val="left" w:pos="-720"/>
                <w:tab w:val="left" w:pos="720"/>
              </w:tabs>
              <w:suppressAutoHyphens/>
              <w:spacing w:line="240" w:lineRule="atLeast"/>
              <w:rPr>
                <w:rFonts w:asciiTheme="minorHAnsi" w:hAnsiTheme="minorHAnsi" w:cs="CG Times"/>
                <w:sz w:val="21"/>
                <w:szCs w:val="21"/>
              </w:rPr>
            </w:pPr>
            <w:r>
              <w:rPr>
                <w:rFonts w:asciiTheme="minorHAnsi" w:hAnsiTheme="minorHAnsi" w:cs="CG Times"/>
                <w:sz w:val="21"/>
                <w:szCs w:val="21"/>
              </w:rPr>
              <w:tab/>
            </w:r>
          </w:p>
        </w:tc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="CG Times"/>
                <w:sz w:val="21"/>
                <w:szCs w:val="21"/>
              </w:rPr>
              <w:tab/>
            </w:r>
            <w:r w:rsidRPr="005024B2">
              <w:rPr>
                <w:rFonts w:asciiTheme="minorHAnsi" w:hAnsiTheme="minorHAnsi" w:cs="CG Times"/>
                <w:b/>
                <w:i/>
                <w:sz w:val="28"/>
                <w:szCs w:val="21"/>
              </w:rPr>
              <w:t>FIRST YEAR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</w:p>
        </w:tc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  <w:u w:val="single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</w:r>
            <w:r w:rsidRPr="005024B2">
              <w:rPr>
                <w:rFonts w:asciiTheme="minorHAnsi" w:hAnsiTheme="minorHAnsi" w:cs="CG Times"/>
                <w:b/>
                <w:szCs w:val="21"/>
                <w:u w:val="single"/>
              </w:rPr>
              <w:t>CUMULATIVE –</w:t>
            </w:r>
            <w:r w:rsidR="00F57736">
              <w:rPr>
                <w:rFonts w:asciiTheme="minorHAnsi" w:hAnsiTheme="minorHAnsi" w:cs="CG Times"/>
                <w:b/>
                <w:szCs w:val="21"/>
                <w:u w:val="single"/>
              </w:rPr>
              <w:t xml:space="preserve"> 123 </w:t>
            </w:r>
            <w:r w:rsidRPr="005024B2">
              <w:rPr>
                <w:rFonts w:asciiTheme="minorHAnsi" w:hAnsiTheme="minorHAnsi" w:cs="CG Times"/>
                <w:b/>
                <w:szCs w:val="21"/>
                <w:u w:val="single"/>
              </w:rPr>
              <w:t>TOTAL STUDENTS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10%</w:t>
            </w:r>
          </w:p>
        </w:tc>
        <w:tc>
          <w:tcPr>
            <w:tcW w:w="4675" w:type="dxa"/>
          </w:tcPr>
          <w:p w:rsidR="005024B2" w:rsidRPr="001937BD" w:rsidRDefault="00F57736" w:rsidP="00F57736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3.56 – 4.08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25%</w:t>
            </w:r>
          </w:p>
        </w:tc>
        <w:tc>
          <w:tcPr>
            <w:tcW w:w="4675" w:type="dxa"/>
          </w:tcPr>
          <w:p w:rsidR="005024B2" w:rsidRPr="001937BD" w:rsidRDefault="00F57736" w:rsidP="00F57736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3.23 – 3.55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33%</w:t>
            </w:r>
          </w:p>
        </w:tc>
        <w:tc>
          <w:tcPr>
            <w:tcW w:w="4675" w:type="dxa"/>
          </w:tcPr>
          <w:p w:rsidR="005024B2" w:rsidRPr="001937BD" w:rsidRDefault="00F57736" w:rsidP="00F57736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3.11 – 3.21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50%</w:t>
            </w:r>
          </w:p>
        </w:tc>
        <w:tc>
          <w:tcPr>
            <w:tcW w:w="4675" w:type="dxa"/>
          </w:tcPr>
          <w:p w:rsidR="005024B2" w:rsidRPr="001937BD" w:rsidRDefault="00F57736" w:rsidP="00F57736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2.89 – 3.10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</w:p>
        </w:tc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 w:val="28"/>
                <w:szCs w:val="21"/>
              </w:rPr>
            </w:pPr>
          </w:p>
        </w:tc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i/>
                <w:sz w:val="28"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 w:val="28"/>
                <w:szCs w:val="21"/>
              </w:rPr>
              <w:tab/>
            </w:r>
            <w:r w:rsidRPr="005024B2">
              <w:rPr>
                <w:rFonts w:asciiTheme="minorHAnsi" w:hAnsiTheme="minorHAnsi" w:cs="CG Times"/>
                <w:b/>
                <w:i/>
                <w:sz w:val="28"/>
                <w:szCs w:val="21"/>
              </w:rPr>
              <w:t>SECOND YEAR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</w:p>
        </w:tc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  <w:u w:val="single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</w:r>
            <w:r w:rsidRPr="005024B2">
              <w:rPr>
                <w:rFonts w:asciiTheme="minorHAnsi" w:hAnsiTheme="minorHAnsi" w:cs="CG Times"/>
                <w:b/>
                <w:szCs w:val="21"/>
                <w:u w:val="single"/>
              </w:rPr>
              <w:t>CUMULATIVE –</w:t>
            </w:r>
            <w:r w:rsidR="00F57736">
              <w:rPr>
                <w:rFonts w:asciiTheme="minorHAnsi" w:hAnsiTheme="minorHAnsi" w:cs="CG Times"/>
                <w:b/>
                <w:szCs w:val="21"/>
                <w:u w:val="single"/>
              </w:rPr>
              <w:t xml:space="preserve"> 113 </w:t>
            </w:r>
            <w:r w:rsidRPr="005024B2">
              <w:rPr>
                <w:rFonts w:asciiTheme="minorHAnsi" w:hAnsiTheme="minorHAnsi" w:cs="CG Times"/>
                <w:b/>
                <w:szCs w:val="21"/>
                <w:u w:val="single"/>
              </w:rPr>
              <w:t>TOTAL STUDENTS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10%</w:t>
            </w:r>
          </w:p>
        </w:tc>
        <w:tc>
          <w:tcPr>
            <w:tcW w:w="4675" w:type="dxa"/>
          </w:tcPr>
          <w:p w:rsidR="005024B2" w:rsidRPr="005024B2" w:rsidRDefault="00F57736" w:rsidP="00F57736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3.56 – 4.13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25%</w:t>
            </w:r>
          </w:p>
        </w:tc>
        <w:tc>
          <w:tcPr>
            <w:tcW w:w="4675" w:type="dxa"/>
          </w:tcPr>
          <w:p w:rsidR="00F57736" w:rsidRPr="005024B2" w:rsidRDefault="00F57736" w:rsidP="00F57736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3.40 – 3.53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33%</w:t>
            </w:r>
          </w:p>
        </w:tc>
        <w:tc>
          <w:tcPr>
            <w:tcW w:w="4675" w:type="dxa"/>
          </w:tcPr>
          <w:p w:rsidR="005024B2" w:rsidRPr="005024B2" w:rsidRDefault="00F57736" w:rsidP="00F57736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3.28 – 3.38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50%</w:t>
            </w:r>
          </w:p>
        </w:tc>
        <w:tc>
          <w:tcPr>
            <w:tcW w:w="4675" w:type="dxa"/>
          </w:tcPr>
          <w:p w:rsidR="005024B2" w:rsidRPr="005024B2" w:rsidRDefault="00F57736" w:rsidP="00F57736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3.06 – 3.25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</w:p>
        </w:tc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 w:val="28"/>
                <w:szCs w:val="21"/>
              </w:rPr>
            </w:pPr>
          </w:p>
        </w:tc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i/>
                <w:sz w:val="28"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 w:val="28"/>
                <w:szCs w:val="21"/>
              </w:rPr>
              <w:tab/>
            </w:r>
            <w:r w:rsidRPr="005024B2">
              <w:rPr>
                <w:rFonts w:asciiTheme="minorHAnsi" w:hAnsiTheme="minorHAnsi" w:cs="CG Times"/>
                <w:b/>
                <w:i/>
                <w:sz w:val="28"/>
                <w:szCs w:val="21"/>
              </w:rPr>
              <w:t>THIRD YEAR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</w:p>
        </w:tc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  <w:u w:val="single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</w:r>
            <w:r w:rsidRPr="005024B2">
              <w:rPr>
                <w:rFonts w:asciiTheme="minorHAnsi" w:hAnsiTheme="minorHAnsi" w:cs="CG Times"/>
                <w:b/>
                <w:szCs w:val="21"/>
                <w:u w:val="single"/>
              </w:rPr>
              <w:t xml:space="preserve">CUMULATIVE </w:t>
            </w:r>
            <w:r>
              <w:rPr>
                <w:rFonts w:asciiTheme="minorHAnsi" w:hAnsiTheme="minorHAnsi" w:cs="CG Times"/>
                <w:b/>
                <w:szCs w:val="21"/>
                <w:u w:val="single"/>
              </w:rPr>
              <w:t xml:space="preserve">- </w:t>
            </w:r>
            <w:r w:rsidR="00C04E19">
              <w:rPr>
                <w:rFonts w:asciiTheme="minorHAnsi" w:hAnsiTheme="minorHAnsi" w:cs="CG Times"/>
                <w:b/>
                <w:szCs w:val="21"/>
                <w:u w:val="single"/>
              </w:rPr>
              <w:t>110</w:t>
            </w:r>
            <w:r w:rsidRPr="005024B2">
              <w:rPr>
                <w:rFonts w:asciiTheme="minorHAnsi" w:hAnsiTheme="minorHAnsi" w:cs="CG Times"/>
                <w:b/>
                <w:szCs w:val="21"/>
                <w:u w:val="single"/>
              </w:rPr>
              <w:t xml:space="preserve"> TOTAL STUDENTS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10%</w:t>
            </w:r>
          </w:p>
        </w:tc>
        <w:tc>
          <w:tcPr>
            <w:tcW w:w="4675" w:type="dxa"/>
          </w:tcPr>
          <w:p w:rsidR="00F4056A" w:rsidRPr="005024B2" w:rsidRDefault="00F4056A" w:rsidP="00F4056A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3.74 – 4.04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25%</w:t>
            </w:r>
          </w:p>
        </w:tc>
        <w:tc>
          <w:tcPr>
            <w:tcW w:w="4675" w:type="dxa"/>
          </w:tcPr>
          <w:p w:rsidR="005024B2" w:rsidRPr="005024B2" w:rsidRDefault="00F4056A" w:rsidP="00F4056A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3.51 – 3.71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33%</w:t>
            </w:r>
          </w:p>
        </w:tc>
        <w:tc>
          <w:tcPr>
            <w:tcW w:w="4675" w:type="dxa"/>
          </w:tcPr>
          <w:p w:rsidR="005024B2" w:rsidRPr="005024B2" w:rsidRDefault="00F4056A" w:rsidP="00F4056A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3.38 – 3.50</w:t>
            </w:r>
          </w:p>
        </w:tc>
      </w:tr>
      <w:tr w:rsidR="005024B2" w:rsidRPr="005024B2" w:rsidTr="005024B2">
        <w:tc>
          <w:tcPr>
            <w:tcW w:w="4675" w:type="dxa"/>
          </w:tcPr>
          <w:p w:rsidR="005024B2" w:rsidRPr="005024B2" w:rsidRDefault="005024B2" w:rsidP="005024B2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="CG Times"/>
                <w:b/>
                <w:szCs w:val="21"/>
              </w:rPr>
            </w:pPr>
            <w:r w:rsidRPr="005024B2">
              <w:rPr>
                <w:rFonts w:asciiTheme="minorHAnsi" w:hAnsiTheme="minorHAnsi" w:cs="CG Times"/>
                <w:b/>
                <w:szCs w:val="21"/>
              </w:rPr>
              <w:tab/>
              <w:t>TOP 50%</w:t>
            </w:r>
          </w:p>
        </w:tc>
        <w:tc>
          <w:tcPr>
            <w:tcW w:w="4675" w:type="dxa"/>
          </w:tcPr>
          <w:p w:rsidR="005024B2" w:rsidRPr="005024B2" w:rsidRDefault="00F4056A" w:rsidP="00F4056A">
            <w:pPr>
              <w:tabs>
                <w:tab w:val="left" w:pos="-720"/>
                <w:tab w:val="center" w:pos="2236"/>
              </w:tabs>
              <w:suppressAutoHyphens/>
              <w:spacing w:line="240" w:lineRule="atLeast"/>
              <w:jc w:val="center"/>
              <w:rPr>
                <w:rFonts w:asciiTheme="minorHAnsi" w:hAnsiTheme="minorHAnsi" w:cs="CG Times"/>
                <w:b/>
                <w:szCs w:val="21"/>
              </w:rPr>
            </w:pPr>
            <w:r>
              <w:rPr>
                <w:rFonts w:asciiTheme="minorHAnsi" w:hAnsiTheme="minorHAnsi" w:cs="CG Times"/>
                <w:b/>
                <w:szCs w:val="21"/>
              </w:rPr>
              <w:t>3.22 – 3.37</w:t>
            </w:r>
          </w:p>
        </w:tc>
      </w:tr>
    </w:tbl>
    <w:p w:rsidR="005024B2" w:rsidRDefault="005024B2" w:rsidP="005024B2">
      <w:pPr>
        <w:tabs>
          <w:tab w:val="left" w:pos="-720"/>
        </w:tabs>
        <w:suppressAutoHyphens/>
        <w:spacing w:line="240" w:lineRule="atLeast"/>
        <w:rPr>
          <w:rFonts w:asciiTheme="minorHAnsi" w:hAnsiTheme="minorHAnsi" w:cs="CG Times"/>
          <w:sz w:val="21"/>
          <w:szCs w:val="21"/>
        </w:rPr>
      </w:pPr>
    </w:p>
    <w:p w:rsidR="005024B2" w:rsidRDefault="005024B2" w:rsidP="005024B2">
      <w:pPr>
        <w:tabs>
          <w:tab w:val="left" w:pos="-720"/>
        </w:tabs>
        <w:suppressAutoHyphens/>
        <w:spacing w:line="240" w:lineRule="atLeast"/>
        <w:rPr>
          <w:rFonts w:asciiTheme="minorHAnsi" w:hAnsiTheme="minorHAnsi" w:cs="CG Times"/>
          <w:sz w:val="21"/>
          <w:szCs w:val="21"/>
        </w:rPr>
      </w:pPr>
    </w:p>
    <w:p w:rsidR="00AB513A" w:rsidRDefault="00AB513A"/>
    <w:sectPr w:rsidR="00AB5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B2"/>
    <w:rsid w:val="000433EA"/>
    <w:rsid w:val="00147B58"/>
    <w:rsid w:val="001937BD"/>
    <w:rsid w:val="002F557F"/>
    <w:rsid w:val="005024B2"/>
    <w:rsid w:val="005356B2"/>
    <w:rsid w:val="005C4879"/>
    <w:rsid w:val="007A3081"/>
    <w:rsid w:val="00861EE3"/>
    <w:rsid w:val="00867F21"/>
    <w:rsid w:val="00A119D2"/>
    <w:rsid w:val="00AB513A"/>
    <w:rsid w:val="00AB7720"/>
    <w:rsid w:val="00C04E19"/>
    <w:rsid w:val="00E44EFF"/>
    <w:rsid w:val="00F4056A"/>
    <w:rsid w:val="00F43B2F"/>
    <w:rsid w:val="00F55C78"/>
    <w:rsid w:val="00F57736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67E0"/>
  <w15:chartTrackingRefBased/>
  <w15:docId w15:val="{A3246A1B-FDA4-41E2-8F12-0158BAED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Yager</dc:creator>
  <cp:keywords/>
  <dc:description/>
  <cp:lastModifiedBy>Betsy Yager</cp:lastModifiedBy>
  <cp:revision>4</cp:revision>
  <dcterms:created xsi:type="dcterms:W3CDTF">2024-05-23T21:48:00Z</dcterms:created>
  <dcterms:modified xsi:type="dcterms:W3CDTF">2024-05-31T18:41:00Z</dcterms:modified>
</cp:coreProperties>
</file>